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47AF9" w14:textId="77777777" w:rsidR="00BD0CA6" w:rsidRDefault="00000000">
      <w:pPr>
        <w:spacing w:after="20"/>
        <w:jc w:val="center"/>
        <w:rPr>
          <w:rFonts w:ascii="Arial" w:eastAsia="Arial" w:hAnsi="Arial" w:cs="Arial"/>
          <w:b/>
          <w:bCs/>
          <w:color w:val="1A3A3A"/>
          <w:sz w:val="40"/>
          <w:szCs w:val="40"/>
        </w:rPr>
      </w:pPr>
      <w:r>
        <w:rPr>
          <w:rFonts w:ascii="Arial" w:eastAsia="Arial" w:hAnsi="Arial" w:cs="Arial"/>
          <w:b/>
          <w:bCs/>
          <w:color w:val="1A3A3A"/>
          <w:sz w:val="40"/>
          <w:szCs w:val="40"/>
        </w:rPr>
        <w:t>AI Bias Risk Assessment Checklist</w:t>
      </w:r>
    </w:p>
    <w:p w14:paraId="4BAA9D6B" w14:textId="77777777" w:rsidR="00BD0CA6" w:rsidRDefault="00000000">
      <w:pPr>
        <w:spacing w:after="40"/>
        <w:jc w:val="center"/>
        <w:rPr>
          <w:rFonts w:ascii="Arial" w:eastAsia="Arial" w:hAnsi="Arial" w:cs="Arial"/>
          <w:color w:val="555555"/>
          <w:sz w:val="24"/>
          <w:szCs w:val="24"/>
        </w:rPr>
      </w:pPr>
      <w:r>
        <w:rPr>
          <w:rFonts w:ascii="Arial" w:eastAsia="Arial" w:hAnsi="Arial" w:cs="Arial"/>
          <w:color w:val="555555"/>
          <w:sz w:val="24"/>
          <w:szCs w:val="24"/>
        </w:rPr>
        <w:t>A Manager's Guide</w:t>
      </w:r>
    </w:p>
    <w:p w14:paraId="78232A3C" w14:textId="60CA9727" w:rsidR="00BD0CA6" w:rsidRDefault="00BD0CA6" w:rsidP="00285624">
      <w:pPr>
        <w:spacing w:after="120"/>
      </w:pPr>
    </w:p>
    <w:tbl>
      <w:tblPr>
        <w:tblStyle w:val="a"/>
        <w:tblW w:w="10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29"/>
        <w:gridCol w:w="3630"/>
        <w:gridCol w:w="3630"/>
      </w:tblGrid>
      <w:tr w:rsidR="00BD0CA6" w14:paraId="71863340" w14:textId="77777777">
        <w:tc>
          <w:tcPr>
            <w:tcW w:w="362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0F0"/>
            <w:tcMar>
              <w:top w:w="60" w:type="dxa"/>
              <w:left w:w="140" w:type="dxa"/>
              <w:bottom w:w="60" w:type="dxa"/>
              <w:right w:w="100" w:type="dxa"/>
            </w:tcMar>
          </w:tcPr>
          <w:p w14:paraId="78182FBD" w14:textId="77777777" w:rsidR="00BD0CA6" w:rsidRDefault="00000000">
            <w:pPr>
              <w:jc w:val="center"/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 xml:space="preserve">🔴  </w:t>
            </w:r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>High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 risk: act now</w:t>
            </w:r>
          </w:p>
        </w:tc>
        <w:tc>
          <w:tcPr>
            <w:tcW w:w="36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DE7"/>
            <w:tcMar>
              <w:top w:w="60" w:type="dxa"/>
              <w:left w:w="140" w:type="dxa"/>
              <w:bottom w:w="60" w:type="dxa"/>
              <w:right w:w="100" w:type="dxa"/>
            </w:tcMar>
          </w:tcPr>
          <w:p w14:paraId="52EC4DE2" w14:textId="77777777" w:rsidR="00BD0CA6" w:rsidRDefault="00000000">
            <w:pPr>
              <w:jc w:val="center"/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 xml:space="preserve">🟡  </w:t>
            </w:r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>Medium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 risk: monitor closely</w:t>
            </w:r>
          </w:p>
        </w:tc>
        <w:tc>
          <w:tcPr>
            <w:tcW w:w="363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1F8E9"/>
            <w:tcMar>
              <w:top w:w="60" w:type="dxa"/>
              <w:left w:w="140" w:type="dxa"/>
              <w:bottom w:w="60" w:type="dxa"/>
              <w:right w:w="100" w:type="dxa"/>
            </w:tcMar>
          </w:tcPr>
          <w:p w14:paraId="4E74CA6A" w14:textId="77777777" w:rsidR="00BD0CA6" w:rsidRDefault="00000000">
            <w:pPr>
              <w:jc w:val="center"/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 xml:space="preserve">🟢  </w:t>
            </w:r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>Low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 risk: good practice in place</w:t>
            </w:r>
          </w:p>
        </w:tc>
      </w:tr>
    </w:tbl>
    <w:p w14:paraId="446909EC" w14:textId="77777777" w:rsidR="00BD0CA6" w:rsidRDefault="00BD0CA6">
      <w:pPr>
        <w:spacing w:after="120"/>
      </w:pPr>
    </w:p>
    <w:p w14:paraId="0CAE7D53" w14:textId="77777777" w:rsidR="00BD0CA6" w:rsidRDefault="00000000">
      <w:pPr>
        <w:spacing w:after="60"/>
      </w:pPr>
      <w:r>
        <w:rPr>
          <w:rFonts w:ascii="Arial" w:eastAsia="Arial" w:hAnsi="Arial" w:cs="Arial"/>
          <w:b/>
          <w:bCs/>
          <w:color w:val="2E6E6E"/>
          <w:sz w:val="28"/>
          <w:szCs w:val="28"/>
        </w:rPr>
        <w:t>Your AI Scenario</w:t>
      </w:r>
    </w:p>
    <w:p w14:paraId="1D0AA3C9" w14:textId="77777777" w:rsidR="00BD0CA6" w:rsidRDefault="00000000">
      <w:pPr>
        <w:spacing w:after="80"/>
      </w:pPr>
      <w:r>
        <w:rPr>
          <w:rFonts w:ascii="Arial" w:eastAsia="Arial" w:hAnsi="Arial" w:cs="Arial"/>
          <w:i/>
          <w:iCs/>
          <w:color w:val="555555"/>
          <w:sz w:val="19"/>
          <w:szCs w:val="19"/>
        </w:rPr>
        <w:t>Describe the AI system you are assessing. Be as specific as possible: the more concrete your scenario, the more useful your risk assessment will be.</w:t>
      </w:r>
    </w:p>
    <w:tbl>
      <w:tblPr>
        <w:tblStyle w:val="a0"/>
        <w:tblW w:w="10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0"/>
        <w:gridCol w:w="8889"/>
      </w:tblGrid>
      <w:tr w:rsidR="00BD0CA6" w14:paraId="1149DA29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C3A0633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Project / AI system name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90CA480" w14:textId="77777777" w:rsidR="00BD0CA6" w:rsidRDefault="00BD0CA6"/>
          <w:p w14:paraId="150F9167" w14:textId="77777777" w:rsidR="00BD0CA6" w:rsidRDefault="00BD0CA6"/>
        </w:tc>
      </w:tr>
      <w:tr w:rsidR="00BD0CA6" w14:paraId="1F4CA4AA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9432425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Description</w:t>
            </w:r>
          </w:p>
          <w:p w14:paraId="7FCE83B1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What does the system do? What is its purpose?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09F1EDA" w14:textId="77777777" w:rsidR="00BD0CA6" w:rsidRDefault="00BD0CA6"/>
          <w:p w14:paraId="636F6D48" w14:textId="77777777" w:rsidR="00BD0CA6" w:rsidRDefault="00BD0CA6"/>
          <w:p w14:paraId="44C04610" w14:textId="77777777" w:rsidR="00BD0CA6" w:rsidRDefault="00BD0CA6"/>
        </w:tc>
      </w:tr>
      <w:tr w:rsidR="00BD0CA6" w14:paraId="2571FFD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A55C0DC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Vendor / provider (if any)</w:t>
            </w:r>
          </w:p>
          <w:p w14:paraId="26D48D1E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Internal build, third-party vendor, open-source model…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3367F88" w14:textId="77777777" w:rsidR="00BD0CA6" w:rsidRDefault="00BD0CA6"/>
          <w:p w14:paraId="1CC750C3" w14:textId="77777777" w:rsidR="00BD0CA6" w:rsidRDefault="00BD0CA6"/>
        </w:tc>
      </w:tr>
      <w:tr w:rsidR="00BD0CA6" w14:paraId="1A240D2E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1709B06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Vendor claims (if any)</w:t>
            </w:r>
          </w:p>
          <w:p w14:paraId="77F7E654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What does the vendor say about accuracy, data, fairness?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C4C2AB5" w14:textId="77777777" w:rsidR="00BD0CA6" w:rsidRDefault="00BD0CA6"/>
          <w:p w14:paraId="110F6E3F" w14:textId="77777777" w:rsidR="00BD0CA6" w:rsidRDefault="00BD0CA6"/>
          <w:p w14:paraId="1805308B" w14:textId="77777777" w:rsidR="00BD0CA6" w:rsidRDefault="00BD0CA6"/>
        </w:tc>
      </w:tr>
      <w:tr w:rsidR="00BD0CA6" w14:paraId="431DFB4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41A5887" w14:textId="77777777" w:rsidR="00BD0CA6" w:rsidRDefault="00000000">
            <w:proofErr w:type="gramStart"/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Current status</w:t>
            </w:r>
            <w:proofErr w:type="gramEnd"/>
          </w:p>
          <w:p w14:paraId="31C32370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Where is the project now? What decision are you being asked to make?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63344D9" w14:textId="77777777" w:rsidR="00BD0CA6" w:rsidRDefault="00BD0CA6"/>
          <w:p w14:paraId="17E50569" w14:textId="77777777" w:rsidR="00BD0CA6" w:rsidRDefault="00BD0CA6"/>
          <w:p w14:paraId="480D590C" w14:textId="77777777" w:rsidR="00BD0CA6" w:rsidRDefault="00BD0CA6"/>
        </w:tc>
      </w:tr>
      <w:tr w:rsidR="00BD0CA6" w14:paraId="593424E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03D8511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Users</w:t>
            </w:r>
          </w:p>
          <w:p w14:paraId="0326D8D0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Who will operate or interact with the system directly?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4584BF4" w14:textId="77777777" w:rsidR="00BD0CA6" w:rsidRDefault="00BD0CA6"/>
          <w:p w14:paraId="4A667F72" w14:textId="77777777" w:rsidR="00BD0CA6" w:rsidRDefault="00BD0CA6"/>
        </w:tc>
      </w:tr>
      <w:tr w:rsidR="00BD0CA6" w14:paraId="652895F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0787D12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Affected population</w:t>
            </w:r>
          </w:p>
          <w:p w14:paraId="6962FC7E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Who will be impacted by the system's outputs, including indirectly?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57D6FA1" w14:textId="77777777" w:rsidR="00BD0CA6" w:rsidRDefault="00BD0CA6"/>
          <w:p w14:paraId="08301EA7" w14:textId="77777777" w:rsidR="00BD0CA6" w:rsidRDefault="00BD0CA6"/>
          <w:p w14:paraId="391491C2" w14:textId="77777777" w:rsidR="00BD0CA6" w:rsidRDefault="00BD0CA6"/>
        </w:tc>
      </w:tr>
      <w:tr w:rsidR="00BD0CA6" w14:paraId="609D9E34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10D2FEA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Deployment context</w:t>
            </w:r>
          </w:p>
          <w:p w14:paraId="51F41D64" w14:textId="77777777" w:rsidR="00BD0CA6" w:rsidRDefault="00000000">
            <w:r>
              <w:rPr>
                <w:rFonts w:ascii="Arial" w:eastAsia="Arial" w:hAnsi="Arial" w:cs="Arial"/>
                <w:i/>
                <w:iCs/>
                <w:color w:val="AAAAAA"/>
                <w:sz w:val="15"/>
                <w:szCs w:val="15"/>
              </w:rPr>
              <w:t>In which country / region? Which regulatory framework applies?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D18690F" w14:textId="77777777" w:rsidR="00BD0CA6" w:rsidRDefault="00BD0CA6"/>
          <w:p w14:paraId="4C833539" w14:textId="77777777" w:rsidR="00BD0CA6" w:rsidRDefault="00BD0CA6"/>
        </w:tc>
      </w:tr>
      <w:tr w:rsidR="00BD0CA6" w14:paraId="7C9157D4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9CB0A35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Assessed by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D535A83" w14:textId="77777777" w:rsidR="00BD0CA6" w:rsidRDefault="00BD0CA6"/>
          <w:p w14:paraId="21C42377" w14:textId="77777777" w:rsidR="00BD0CA6" w:rsidRDefault="00BD0CA6"/>
        </w:tc>
      </w:tr>
      <w:tr w:rsidR="00BD0CA6" w14:paraId="62FCE92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EE36AC8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Group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58463C8" w14:textId="77777777" w:rsidR="00BD0CA6" w:rsidRDefault="00BD0CA6"/>
          <w:p w14:paraId="62F4C380" w14:textId="77777777" w:rsidR="00BD0CA6" w:rsidRDefault="00BD0CA6"/>
        </w:tc>
      </w:tr>
      <w:tr w:rsidR="00BD0CA6" w14:paraId="5150DB1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0F7F7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B896D57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2E6E6E"/>
                <w:sz w:val="18"/>
                <w:szCs w:val="18"/>
              </w:rPr>
              <w:t>Date</w:t>
            </w:r>
          </w:p>
        </w:tc>
        <w:tc>
          <w:tcPr>
            <w:tcW w:w="88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23452DD" w14:textId="77777777" w:rsidR="00BD0CA6" w:rsidRDefault="00BD0CA6"/>
          <w:p w14:paraId="2C5B9ADD" w14:textId="77777777" w:rsidR="00BD0CA6" w:rsidRDefault="00BD0CA6"/>
        </w:tc>
      </w:tr>
    </w:tbl>
    <w:p w14:paraId="25F0F04C" w14:textId="77777777" w:rsidR="00BD0CA6" w:rsidRDefault="00BD0CA6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p w14:paraId="273F5446" w14:textId="77777777" w:rsidR="00BD0CA6" w:rsidRDefault="00BD0CA6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p w14:paraId="4390D1E7" w14:textId="77777777" w:rsidR="00BD0CA6" w:rsidRDefault="00BD0CA6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p w14:paraId="0BC3C70C" w14:textId="77777777" w:rsidR="0035393A" w:rsidRDefault="0035393A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p w14:paraId="553B0D6E" w14:textId="77777777" w:rsidR="0035393A" w:rsidRDefault="0035393A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p w14:paraId="0A21F536" w14:textId="77777777" w:rsidR="0035393A" w:rsidRDefault="0035393A">
      <w:pPr>
        <w:jc w:val="center"/>
        <w:rPr>
          <w:rFonts w:ascii="Arial" w:eastAsia="Arial" w:hAnsi="Arial" w:cs="Arial"/>
          <w:b/>
          <w:bCs/>
          <w:color w:val="7B0D0D"/>
          <w:sz w:val="40"/>
          <w:szCs w:val="40"/>
        </w:rPr>
      </w:pPr>
    </w:p>
    <w:tbl>
      <w:tblPr>
        <w:tblStyle w:val="a1"/>
        <w:tblW w:w="10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"/>
        <w:gridCol w:w="4449"/>
        <w:gridCol w:w="1789"/>
        <w:gridCol w:w="3460"/>
        <w:gridCol w:w="700"/>
      </w:tblGrid>
      <w:tr w:rsidR="00BD0CA6" w14:paraId="04394DE9" w14:textId="77777777">
        <w:trPr>
          <w:tblHeader/>
        </w:trPr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6E6E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6F4AE2C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#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6E6E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3CA8C67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Question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6E6E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C790AA8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Source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6E6E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A9AB490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Answer / Notes</w:t>
            </w:r>
          </w:p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2E6E6E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C0DB083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Risk</w:t>
            </w:r>
          </w:p>
        </w:tc>
      </w:tr>
      <w:tr w:rsidR="00BD0CA6" w14:paraId="1FED2352" w14:textId="77777777">
        <w:tc>
          <w:tcPr>
            <w:tcW w:w="10889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A5C5C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256E9F97" w14:textId="77777777" w:rsidR="00BD0CA6" w:rsidRDefault="00000000"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STAGE 1: SCOPE &amp; STAKES</w:t>
            </w:r>
          </w:p>
        </w:tc>
      </w:tr>
      <w:tr w:rsidR="00BD0CA6" w14:paraId="3513582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770D4DB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EA2CE1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decision does this AI influence or automate? Is it truly automated, or human-assisted?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6CA38B3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MAP 1.1, 1.2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6EE2922" w14:textId="0DB80878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9ACCBCD" w14:textId="341C621C" w:rsidR="00BD0CA6" w:rsidRDefault="00BD0CA6">
            <w:pPr>
              <w:jc w:val="center"/>
            </w:pPr>
          </w:p>
        </w:tc>
      </w:tr>
      <w:tr w:rsidR="00BD0CA6" w14:paraId="4BB7471D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228CFF7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2BF18BD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Who is affected? List all stakeholder groups, including indirect ones (customers, employees, third parties).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824D49D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MAP 5.1, 5.2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7FD6F96" w14:textId="682989E1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0AEC48F" w14:textId="3FEC930E" w:rsidR="00BD0CA6" w:rsidRDefault="00BD0CA6">
            <w:pPr>
              <w:jc w:val="center"/>
            </w:pPr>
          </w:p>
        </w:tc>
      </w:tr>
      <w:tr w:rsidR="00BD0CA6" w14:paraId="656949D8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13000F9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9A222C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happens to a person if the AI gets it wrong? How severe and reversible is the harm?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C1E0437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MAP 5.1; EU AI Act Art. 6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694817B" w14:textId="1C9B75FA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A381ACF" w14:textId="71D2537A" w:rsidR="00BD0CA6" w:rsidRDefault="00BD0CA6">
            <w:pPr>
              <w:jc w:val="center"/>
            </w:pPr>
          </w:p>
        </w:tc>
      </w:tr>
      <w:tr w:rsidR="00BD0CA6" w14:paraId="0F5E0366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342CAB9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467DA3A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Does this qualify as HIGH-RISK under EU AI Act Annex III? (employment, education, credit, biometrics, public services, law enforcement, migration)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F2B8D55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EU AI Act Art. 6–7, Annex III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4D9BA70" w14:textId="1309A741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FD23C3F" w14:textId="2CD975E5" w:rsidR="00BD0CA6" w:rsidRDefault="00BD0CA6">
            <w:pPr>
              <w:jc w:val="center"/>
            </w:pPr>
          </w:p>
        </w:tc>
      </w:tr>
      <w:tr w:rsidR="00BD0CA6" w14:paraId="1A32B890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4B5109C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14AFF1F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Was there a formal, documented decision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that this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should be automated; or did it just happen?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52A28EB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GOVERN 1.2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D70A558" w14:textId="74621B43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5842956" w14:textId="2D8C8E5C" w:rsidR="00BD0CA6" w:rsidRDefault="00BD0CA6">
            <w:pPr>
              <w:jc w:val="center"/>
            </w:pPr>
          </w:p>
        </w:tc>
      </w:tr>
      <w:tr w:rsidR="00BD0CA6" w14:paraId="0BB01AC9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6DF2A81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A6E678F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Have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impacted communities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representatives (works council, ERGs, diversity officers) been consulted in problem framing?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887CAD7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MAP 5.2; EU AI Act Art. 9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C7D778A" w14:textId="72BCD172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45FD661" w14:textId="043E33CC" w:rsidR="00BD0CA6" w:rsidRDefault="00BD0CA6">
            <w:pPr>
              <w:jc w:val="center"/>
            </w:pPr>
          </w:p>
        </w:tc>
      </w:tr>
      <w:tr w:rsidR="00BD0CA6" w14:paraId="6E5B8AC2" w14:textId="77777777">
        <w:tc>
          <w:tcPr>
            <w:tcW w:w="10889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A5C5C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7E0058CC" w14:textId="0064B989" w:rsidR="00BD0CA6" w:rsidRDefault="005D1779">
            <w:r w:rsidRPr="005D1779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STAGE 2: DATA</w:t>
            </w:r>
          </w:p>
        </w:tc>
      </w:tr>
      <w:tr w:rsidR="00BD0CA6" w14:paraId="20382543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8E73008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82A90F9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Where does the training / input data come from? Is provenance documented?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4089A24" w14:textId="77777777" w:rsidR="00BD0CA6" w:rsidRDefault="00000000"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 xml:space="preserve">EU AI Act Art. 10(2)(b); Gebru et al. </w:t>
            </w:r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(2021)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90E3052" w14:textId="50BC0936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0607A14" w14:textId="30DEC776" w:rsidR="00BD0CA6" w:rsidRDefault="00BD0CA6">
            <w:pPr>
              <w:jc w:val="center"/>
            </w:pPr>
          </w:p>
        </w:tc>
      </w:tr>
      <w:tr w:rsidR="00BD0CA6" w14:paraId="5D09A1D5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4FA469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072109A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Who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represented in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the data? Who is underrepresented or entirely missing?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2F3BB50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Suresh &amp; Guttag - representation bias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B65BDF5" w14:textId="58BA2DC3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9354E4D" w14:textId="6D96D31B" w:rsidR="00BD0CA6" w:rsidRDefault="00BD0CA6">
            <w:pPr>
              <w:jc w:val="center"/>
            </w:pPr>
          </w:p>
        </w:tc>
      </w:tr>
      <w:tr w:rsidR="00BD0CA6" w14:paraId="17DEFC2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5925B9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AD1A42C" w14:textId="77777777" w:rsidR="00BD0CA6" w:rsidRDefault="00000000"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Does the data contain proxy variables that correlate with protected characteristics (e.g. postcode → ethnicity, name → gender)?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7941BC8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EU AI Act Art. 10(2)(f); Suresh &amp; Guttag - measurement bias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7FA7B6E" w14:textId="797A872D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F5E1882" w14:textId="4E2D9976" w:rsidR="00BD0CA6" w:rsidRDefault="00BD0CA6">
            <w:pPr>
              <w:jc w:val="center"/>
            </w:pPr>
          </w:p>
        </w:tc>
      </w:tr>
      <w:tr w:rsidR="00BD0CA6" w14:paraId="45494FC8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07B7413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B20E0E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valid legal basis for using this data? Have GDPR Art. 22 obligations (automated decision-making) been assessed?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761F71C" w14:textId="77777777" w:rsidR="00BD0CA6" w:rsidRPr="00285624" w:rsidRDefault="00000000">
            <w:pPr>
              <w:rPr>
                <w:lang w:val="de-AT"/>
              </w:rPr>
            </w:pPr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GDPR Art. 6, 9, 22; EU AI Act Art. 10(2)(e)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451AF55" w14:textId="6CA0B46B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CC038A2" w14:textId="46651803" w:rsidR="00BD0CA6" w:rsidRDefault="00BD0CA6">
            <w:pPr>
              <w:jc w:val="center"/>
            </w:pPr>
          </w:p>
        </w:tc>
      </w:tr>
      <w:tr w:rsidR="00BD0CA6" w14:paraId="5FC2CD3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8867696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980248B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Has the vendor provided a datasheet or data card documenting the dataset?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406D059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Gebru et al. (2021) - Datasheets for Datasets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473B6BB" w14:textId="6C365C70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635F9F5" w14:textId="2F570441" w:rsidR="00BD0CA6" w:rsidRDefault="00BD0CA6">
            <w:pPr>
              <w:jc w:val="center"/>
            </w:pPr>
          </w:p>
        </w:tc>
      </w:tr>
      <w:tr w:rsidR="00BD0CA6" w14:paraId="2A8EA59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F46E2E9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D7BE620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If using a third-party / vendor model: have you assessed their data documentation and bias testing? Do they accept EU AI Act obligations as provider?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5383F87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GOVERN 6.1; EU AI Act Art. 25 (deployer liability)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9E9F915" w14:textId="7C85205B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00568B4" w14:textId="384B114C" w:rsidR="00BD0CA6" w:rsidRDefault="00BD0CA6">
            <w:pPr>
              <w:jc w:val="center"/>
            </w:pPr>
          </w:p>
        </w:tc>
      </w:tr>
      <w:tr w:rsidR="00BD0CA6" w14:paraId="11438A1B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D72A64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261121B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 non-EU vendors: have you assessed whether they meet EU AI Act obligations and whether your contract reflects deployer responsibilities?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10097BD" w14:textId="77777777" w:rsidR="00BD0CA6" w:rsidRPr="00285624" w:rsidRDefault="00000000">
            <w:pPr>
              <w:rPr>
                <w:lang w:val="de-AT"/>
              </w:rPr>
            </w:pPr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EU AI Act Art. 25; GDPR Art. 28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EC9DFEF" w14:textId="1A374403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1A0CF76" w14:textId="32E368BA" w:rsidR="00BD0CA6" w:rsidRDefault="00BD0CA6">
            <w:pPr>
              <w:jc w:val="center"/>
            </w:pPr>
          </w:p>
        </w:tc>
      </w:tr>
      <w:tr w:rsidR="00BD0CA6" w14:paraId="508CC6DE" w14:textId="77777777">
        <w:tc>
          <w:tcPr>
            <w:tcW w:w="10889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A5C5C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6715F60A" w14:textId="4765F5F8" w:rsidR="00BD0CA6" w:rsidRDefault="005D1779">
            <w:r w:rsidRPr="005D1779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STAGE 3: BUILD &amp; EVALUATION</w:t>
            </w:r>
          </w:p>
        </w:tc>
      </w:tr>
      <w:tr w:rsidR="00BD0CA6" w14:paraId="0DDBA44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3B62417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D936058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What metric defines 'success' for this system? Who chose it? Is it disaggregated by demographic group?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9E3EF93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MEASURE 2.6; Suresh &amp; Guttag -aggregation bias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86AD1EA" w14:textId="5538F1CB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503CCFB" w14:textId="727384AE" w:rsidR="00BD0CA6" w:rsidRDefault="00BD0CA6">
            <w:pPr>
              <w:jc w:val="center"/>
            </w:pPr>
          </w:p>
        </w:tc>
      </w:tr>
      <w:tr w:rsidR="00BD0CA6" w14:paraId="2C7BE75C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E39411B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5838D70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Has performance been evaluated disaggregated by relevant subgroups (gender, age, ethnicity, language, socioeconomic background)?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2D5D95B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MEASURE 2.6; EU AI Act Art. 9(7)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1003F77" w14:textId="04A0D643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18F960A" w14:textId="54B5F32F" w:rsidR="00BD0CA6" w:rsidRDefault="00BD0CA6">
            <w:pPr>
              <w:jc w:val="center"/>
            </w:pPr>
          </w:p>
        </w:tc>
      </w:tr>
      <w:tr w:rsidR="00BD0CA6" w14:paraId="366FC6B7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867734A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3BEA09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Which definition of fairness applies here, and why? (Equal accuracy? Equal false positive rate? Equal opportunity?)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322CDD7" w14:textId="77777777" w:rsidR="00BD0CA6" w:rsidRPr="00285624" w:rsidRDefault="00000000">
            <w:pPr>
              <w:rPr>
                <w:lang w:val="de-AT"/>
              </w:rPr>
            </w:pPr>
            <w:proofErr w:type="spellStart"/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Chouldechova</w:t>
            </w:r>
            <w:proofErr w:type="spellEnd"/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 xml:space="preserve"> (2017); Kleinberg et al. (2016); NIST MAP 2.3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93F91EA" w14:textId="29486FD4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6CD8B8F" w14:textId="633F222C" w:rsidR="00BD0CA6" w:rsidRDefault="00BD0CA6">
            <w:pPr>
              <w:jc w:val="center"/>
            </w:pPr>
          </w:p>
        </w:tc>
      </w:tr>
      <w:tr w:rsidR="00BD0CA6" w14:paraId="00653BB6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927252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3.4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DCA5995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Has the vendor provided a model card?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6DB9D59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Mitchell et al. (2019) - Model Cards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2300852" w14:textId="5AF6E74A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7BBF2F9" w14:textId="080ED27F" w:rsidR="00BD0CA6" w:rsidRDefault="00BD0CA6">
            <w:pPr>
              <w:jc w:val="center"/>
            </w:pPr>
          </w:p>
        </w:tc>
      </w:tr>
      <w:tr w:rsidR="00BD0CA6" w14:paraId="063768A5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6B07555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A920AE7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 evaluation team diverse? Is there psychological safety to flag concerns without career risk?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FB94404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GOVERN 3.2; Raji et al. (2020)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1733049" w14:textId="4D13E277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B102A67" w14:textId="3BAE03D1" w:rsidR="00BD0CA6" w:rsidRDefault="00BD0CA6">
            <w:pPr>
              <w:jc w:val="center"/>
            </w:pPr>
          </w:p>
        </w:tc>
      </w:tr>
      <w:tr w:rsidR="00BD0CA6" w14:paraId="3A3C7A55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6B63066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66B8435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For GenAI: has the system been tested for stereotyped outputs, quality differences across languages / demographic groups, and hallucinations?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5BBC636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AI 600-1 (2024)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FAFE11B" w14:textId="0EE3CE3E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95B9A55" w14:textId="1DD52CD0" w:rsidR="00BD0CA6" w:rsidRDefault="00BD0CA6">
            <w:pPr>
              <w:jc w:val="center"/>
            </w:pPr>
          </w:p>
        </w:tc>
      </w:tr>
      <w:tr w:rsidR="00BD0CA6" w14:paraId="24C45256" w14:textId="77777777">
        <w:tc>
          <w:tcPr>
            <w:tcW w:w="10889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A5C5C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3D2DE559" w14:textId="135C5F1C" w:rsidR="00BD0CA6" w:rsidRDefault="005D1779">
            <w:r w:rsidRPr="005D1779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STAGE 4: LAUNCH GATES</w:t>
            </w:r>
          </w:p>
        </w:tc>
      </w:tr>
      <w:tr w:rsidR="00BD0CA6" w14:paraId="2BC3A6F6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A978044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1206E1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formal go / no-go decision point with explicit fairness criteria before launch?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42B7951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Raji et al. (2020); EU AI Act Art. 9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2D9C48F" w14:textId="546BE049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7567B43" w14:textId="22357ACD" w:rsidR="00BD0CA6" w:rsidRDefault="00BD0CA6">
            <w:pPr>
              <w:jc w:val="center"/>
            </w:pPr>
          </w:p>
        </w:tc>
      </w:tr>
      <w:tr w:rsidR="00BD0CA6" w14:paraId="65CDF083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BE8FB3F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3FB4521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Who has authority to delay or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stop a launch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on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fairness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grounds? Is this person independent from the project champion?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997C107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GOVERN 1.4; Raji et al. (2020)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DD512AB" w14:textId="49884076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239FDE4" w14:textId="78B4DE04" w:rsidR="00BD0CA6" w:rsidRDefault="00BD0CA6">
            <w:pPr>
              <w:jc w:val="center"/>
            </w:pPr>
          </w:p>
        </w:tc>
      </w:tr>
      <w:tr w:rsidR="00BD0CA6" w14:paraId="70F5B3D0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890C5E1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5041EFB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Are affected users informed that AI is used, how it works, and what data is processed? (Transparency obligation)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A255FA6" w14:textId="77777777" w:rsidR="00BD0CA6" w:rsidRPr="00285624" w:rsidRDefault="00000000">
            <w:pPr>
              <w:rPr>
                <w:lang w:val="de-AT"/>
              </w:rPr>
            </w:pPr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EU AI Act Art. 13, 52; GDPR Art. 13–14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6D31C54" w14:textId="0B1DD6F2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BF27EC3" w14:textId="4DB62D99" w:rsidR="00BD0CA6" w:rsidRDefault="00BD0CA6">
            <w:pPr>
              <w:jc w:val="center"/>
            </w:pPr>
          </w:p>
        </w:tc>
      </w:tr>
      <w:tr w:rsidR="00BD0CA6" w14:paraId="2FA8F3FC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D001C83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852A170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redress mechanism? Can affected individuals request human review or challenge an AI-driven decision?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50802FC" w14:textId="77777777" w:rsidR="00BD0CA6" w:rsidRPr="00285624" w:rsidRDefault="00000000">
            <w:pPr>
              <w:rPr>
                <w:lang w:val="de-AT"/>
              </w:rPr>
            </w:pPr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EU AI Act Art. 14(4), Art. 86; GDPR Art. 22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F6720FE" w14:textId="12CBC0DB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2696087" w14:textId="61002105" w:rsidR="00BD0CA6" w:rsidRDefault="00BD0CA6">
            <w:pPr>
              <w:jc w:val="center"/>
            </w:pPr>
          </w:p>
        </w:tc>
      </w:tr>
      <w:tr w:rsidR="00BD0CA6" w14:paraId="184E4A8F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FA4D55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198B5A1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Has a Responsible AI Impact Assessment been completed?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A7CD1A9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Microsoft RAI Standard; Raji et al. (2020); EU AI Act Art. 9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183F0B8" w14:textId="2DB25B37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DB6C91D" w14:textId="5CFF9FDF" w:rsidR="00BD0CA6" w:rsidRDefault="00BD0CA6">
            <w:pPr>
              <w:jc w:val="center"/>
            </w:pPr>
          </w:p>
        </w:tc>
      </w:tr>
      <w:tr w:rsidR="00BD0CA6" w14:paraId="3A7ADB12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E8F0E85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12CAB2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Is the right to human review guaranteed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operationalised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- not just stated on paper?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9ADEE46" w14:textId="77777777" w:rsidR="00BD0CA6" w:rsidRPr="00285624" w:rsidRDefault="00000000">
            <w:pPr>
              <w:rPr>
                <w:lang w:val="de-AT"/>
              </w:rPr>
            </w:pPr>
            <w:r w:rsidRPr="00285624">
              <w:rPr>
                <w:rFonts w:ascii="Arial" w:eastAsia="Arial" w:hAnsi="Arial" w:cs="Arial"/>
                <w:color w:val="444444"/>
                <w:sz w:val="16"/>
                <w:szCs w:val="16"/>
                <w:lang w:val="de-AT"/>
              </w:rPr>
              <w:t>GDPR Art. 22; EU AI Act Art. 86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09AD2BD" w14:textId="2E6215AA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E93784C" w14:textId="55A50CCC" w:rsidR="00BD0CA6" w:rsidRDefault="00BD0CA6">
            <w:pPr>
              <w:jc w:val="center"/>
            </w:pPr>
          </w:p>
        </w:tc>
      </w:tr>
      <w:tr w:rsidR="00BD0CA6" w14:paraId="3E4A10F8" w14:textId="77777777">
        <w:tc>
          <w:tcPr>
            <w:tcW w:w="10889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A5C5C"/>
            <w:tcMar>
              <w:top w:w="100" w:type="dxa"/>
              <w:left w:w="140" w:type="dxa"/>
              <w:bottom w:w="100" w:type="dxa"/>
              <w:right w:w="100" w:type="dxa"/>
            </w:tcMar>
          </w:tcPr>
          <w:p w14:paraId="163304C1" w14:textId="11FD0E06" w:rsidR="00BD0CA6" w:rsidRDefault="005D1779">
            <w:r w:rsidRPr="005D1779"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STAGE 5: MONITORING &amp; RESPONSE</w:t>
            </w:r>
          </w:p>
        </w:tc>
      </w:tr>
      <w:tr w:rsidR="00BD0CA6" w14:paraId="0CDCC67B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A79BE0E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B7CEF4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monitoring plan with specific metrics, alert thresholds, and a named owner?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2F39E74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MANAGE 1.3, 2.2; EU AI Act Art. 72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7129C23" w14:textId="03E5D595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FFCB5F2" w14:textId="7700F5D2" w:rsidR="00BD0CA6" w:rsidRDefault="00BD0CA6">
            <w:pPr>
              <w:jc w:val="center"/>
            </w:pPr>
          </w:p>
        </w:tc>
      </w:tr>
      <w:tr w:rsidR="00BD0CA6" w14:paraId="22636733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0CB70DB1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594EAD5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performance monitored disaggregated by subgroups on an ongoing basis?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D01DBAD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MEASURE 2.6; EU AI Act Art. 9(2)(a)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B553DB5" w14:textId="233F58CC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02D3BFE" w14:textId="7AE3603D" w:rsidR="00BD0CA6" w:rsidRDefault="00BD0CA6">
            <w:pPr>
              <w:jc w:val="center"/>
            </w:pPr>
          </w:p>
        </w:tc>
      </w:tr>
      <w:tr w:rsidR="00BD0CA6" w14:paraId="0B3C6945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A7AE6E4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7F8B117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user feedback channel for fairness concerns - for both affected individuals and internal users?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AAE8749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EU AI Act Art. 14, 86; NIST MANAGE 4.1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488E3BE" w14:textId="503E4F44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295E343" w14:textId="7FEFF42D" w:rsidR="00BD0CA6" w:rsidRDefault="00BD0CA6">
            <w:pPr>
              <w:jc w:val="center"/>
            </w:pPr>
          </w:p>
        </w:tc>
      </w:tr>
      <w:tr w:rsidR="00BD0CA6" w14:paraId="38F34CA6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79F2D1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090DD70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an incident response runbook? Who can pause the system, and what is the remediation process?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08BD99E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MANAGE 4.1, 4.2; EU AI Act Art. 73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40286AA0" w14:textId="0173D6A6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98F4913" w14:textId="33775178" w:rsidR="00BD0CA6" w:rsidRDefault="00BD0CA6">
            <w:pPr>
              <w:jc w:val="center"/>
            </w:pPr>
          </w:p>
        </w:tc>
      </w:tr>
      <w:tr w:rsidR="00BD0CA6" w14:paraId="5A3144E4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8D0419C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1871FE8D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Can the system be paused or rolled back quickly? Is that authority clearly delegated?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83F2AE1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MANAGE 4.2; EU AI Act Art. 14(4)(d)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5A5CFAC3" w14:textId="53FE43D8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5FAFA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C0D02CD" w14:textId="037D2A76" w:rsidR="00BD0CA6" w:rsidRDefault="00BD0CA6">
            <w:pPr>
              <w:jc w:val="center"/>
            </w:pPr>
          </w:p>
        </w:tc>
      </w:tr>
      <w:tr w:rsidR="00BD0CA6" w14:paraId="552E2CC4" w14:textId="77777777">
        <w:tc>
          <w:tcPr>
            <w:tcW w:w="49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2F2CD78A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444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66559482" w14:textId="77777777" w:rsidR="00BD0CA6" w:rsidRDefault="00000000"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 there a scheduled review cycle (not just 'when something goes wrong')?</w:t>
            </w:r>
          </w:p>
        </w:tc>
        <w:tc>
          <w:tcPr>
            <w:tcW w:w="1789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7C2F3516" w14:textId="77777777" w:rsidR="00BD0CA6" w:rsidRDefault="00000000">
            <w:r>
              <w:rPr>
                <w:rFonts w:ascii="Arial" w:eastAsia="Arial" w:hAnsi="Arial" w:cs="Arial"/>
                <w:color w:val="444444"/>
                <w:sz w:val="16"/>
                <w:szCs w:val="16"/>
              </w:rPr>
              <w:t>NIST MANAGE 3.1; EU AI Act Art. 9(2)(a)</w:t>
            </w:r>
          </w:p>
        </w:tc>
        <w:tc>
          <w:tcPr>
            <w:tcW w:w="34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A14827B" w14:textId="5C7D8F62" w:rsidR="00BD0CA6" w:rsidRDefault="00BD0CA6"/>
        </w:tc>
        <w:tc>
          <w:tcPr>
            <w:tcW w:w="7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00" w:type="dxa"/>
            </w:tcMar>
          </w:tcPr>
          <w:p w14:paraId="3FDE7B54" w14:textId="73D29761" w:rsidR="00BD0CA6" w:rsidRDefault="00BD0CA6">
            <w:pPr>
              <w:jc w:val="center"/>
            </w:pPr>
          </w:p>
        </w:tc>
      </w:tr>
    </w:tbl>
    <w:p w14:paraId="67784094" w14:textId="77777777" w:rsidR="00BD0CA6" w:rsidRDefault="00BD0CA6">
      <w:pPr>
        <w:spacing w:after="120"/>
      </w:pPr>
    </w:p>
    <w:p w14:paraId="0B5264C1" w14:textId="77777777" w:rsidR="00BD0CA6" w:rsidRDefault="00BD0CA6">
      <w:pPr>
        <w:spacing w:after="120"/>
      </w:pPr>
    </w:p>
    <w:p w14:paraId="72F004AB" w14:textId="77777777" w:rsidR="00BD0CA6" w:rsidRDefault="00000000">
      <w:pPr>
        <w:spacing w:after="80"/>
      </w:pPr>
      <w:r>
        <w:rPr>
          <w:rFonts w:ascii="Arial" w:eastAsia="Arial" w:hAnsi="Arial" w:cs="Arial"/>
          <w:color w:val="555555"/>
          <w:sz w:val="18"/>
          <w:szCs w:val="18"/>
        </w:rPr>
        <w:t>Sources: NIST AI RMF 1.0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2023)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EU AI Act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2024)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GDPR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2018)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Gebru et al. (2021) Datasheets for Datasets · Mitchell et al. (2019) Model Cards · Raji et al.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2020)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555555"/>
          <w:sz w:val="18"/>
          <w:szCs w:val="18"/>
        </w:rPr>
        <w:t>Chouldechova</w:t>
      </w:r>
      <w:proofErr w:type="spellEnd"/>
      <w:r>
        <w:rPr>
          <w:rFonts w:ascii="Arial" w:eastAsia="Arial" w:hAnsi="Arial" w:cs="Arial"/>
          <w:color w:val="555555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2017)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Kleinberg et al.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2016)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Suresh &amp; Guttag (</w:t>
      </w:r>
      <w:proofErr w:type="gramStart"/>
      <w:r>
        <w:rPr>
          <w:rFonts w:ascii="Arial" w:eastAsia="Arial" w:hAnsi="Arial" w:cs="Arial"/>
          <w:color w:val="555555"/>
          <w:sz w:val="18"/>
          <w:szCs w:val="18"/>
        </w:rPr>
        <w:t>2021) ·</w:t>
      </w:r>
      <w:proofErr w:type="gramEnd"/>
      <w:r>
        <w:rPr>
          <w:rFonts w:ascii="Arial" w:eastAsia="Arial" w:hAnsi="Arial" w:cs="Arial"/>
          <w:color w:val="555555"/>
          <w:sz w:val="18"/>
          <w:szCs w:val="18"/>
        </w:rPr>
        <w:t xml:space="preserve"> Microsoft RAI Standard · NIST AI 600-1 (2024)</w:t>
      </w:r>
    </w:p>
    <w:sectPr w:rsidR="00BD0CA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878FD75-839A-426E-9392-F0DBE1C9C4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97E59AB7-2F7E-4A24-AE1A-AD9C98F673CC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CF58A3-54CC-4D6C-9B3E-277D88D97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91F869-251B-4208-AB00-4C2619D4C7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CA6"/>
    <w:rsid w:val="00285624"/>
    <w:rsid w:val="002E408D"/>
    <w:rsid w:val="0035393A"/>
    <w:rsid w:val="005D1779"/>
    <w:rsid w:val="00707185"/>
    <w:rsid w:val="00BD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71C2"/>
  <w15:docId w15:val="{B105518B-A8AA-4923-BE75-095DF57E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816</Words>
  <Characters>5148</Characters>
  <Application>Microsoft Office Word</Application>
  <DocSecurity>0</DocSecurity>
  <Lines>42</Lines>
  <Paragraphs>11</Paragraphs>
  <ScaleCrop>false</ScaleCrop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Lehner</cp:lastModifiedBy>
  <cp:revision>5</cp:revision>
  <dcterms:created xsi:type="dcterms:W3CDTF">2026-04-15T08:29:00Z</dcterms:created>
  <dcterms:modified xsi:type="dcterms:W3CDTF">2026-04-15T08:41:00Z</dcterms:modified>
</cp:coreProperties>
</file>